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3EB22" w14:textId="77777777" w:rsidR="009E7928" w:rsidRDefault="00AE53AE">
      <w:pPr>
        <w:spacing w:after="0"/>
        <w:ind w:left="0"/>
        <w:rPr>
          <w:rFonts w:ascii="Times New Roman" w:hAnsi="Times New Roman" w:cs="Times New Roman"/>
          <w:color w:val="000000"/>
          <w:sz w:val="24"/>
          <w:szCs w:val="24"/>
        </w:rPr>
      </w:pPr>
      <w:bookmarkStart w:id="0" w:name="_heading=h.gjdgxs" w:colFirst="0" w:colLast="0"/>
      <w:bookmarkEnd w:id="0"/>
      <w:r>
        <w:rPr>
          <w:rFonts w:ascii="Times New Roman" w:hAnsi="Times New Roman" w:cs="Times New Roman"/>
          <w:noProof/>
          <w:color w:val="000000"/>
          <w:sz w:val="24"/>
          <w:szCs w:val="24"/>
        </w:rPr>
        <w:drawing>
          <wp:inline distT="0" distB="0" distL="0" distR="0" wp14:anchorId="27FFDE4D" wp14:editId="1DFFF249">
            <wp:extent cx="5727700" cy="4294505"/>
            <wp:effectExtent l="0" t="0" r="0" b="0"/>
            <wp:docPr id="43" name="image2.jpg" descr="A group of people that are standing in the gras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group of people that are standing in the grass&#10;&#10;Description automatically generated"/>
                    <pic:cNvPicPr preferRelativeResize="0"/>
                  </pic:nvPicPr>
                  <pic:blipFill>
                    <a:blip r:embed="rId7"/>
                    <a:srcRect/>
                    <a:stretch>
                      <a:fillRect/>
                    </a:stretch>
                  </pic:blipFill>
                  <pic:spPr>
                    <a:xfrm>
                      <a:off x="0" y="0"/>
                      <a:ext cx="5727700" cy="4294505"/>
                    </a:xfrm>
                    <a:prstGeom prst="rect">
                      <a:avLst/>
                    </a:prstGeom>
                    <a:ln/>
                  </pic:spPr>
                </pic:pic>
              </a:graphicData>
            </a:graphic>
          </wp:inline>
        </w:drawing>
      </w:r>
    </w:p>
    <w:p w14:paraId="159063C7" w14:textId="77777777" w:rsidR="009E7928" w:rsidRDefault="00AE53AE">
      <w:pPr>
        <w:spacing w:after="0"/>
        <w:ind w:left="0"/>
        <w:rPr>
          <w:rFonts w:ascii="Playfair Display" w:eastAsia="Playfair Display" w:hAnsi="Playfair Display" w:cs="Playfair Display"/>
          <w:b/>
          <w:color w:val="528F96"/>
          <w:sz w:val="96"/>
          <w:szCs w:val="96"/>
        </w:rPr>
      </w:pPr>
      <w:r>
        <w:rPr>
          <w:rFonts w:ascii="Playfair Display" w:eastAsia="Playfair Display" w:hAnsi="Playfair Display" w:cs="Playfair Display"/>
          <w:b/>
          <w:color w:val="528F96"/>
          <w:sz w:val="96"/>
          <w:szCs w:val="96"/>
        </w:rPr>
        <w:t>In groups we trust</w:t>
      </w:r>
    </w:p>
    <w:p w14:paraId="5F507666" w14:textId="77777777" w:rsidR="009E7928" w:rsidRDefault="009E7928">
      <w:pPr>
        <w:spacing w:after="0"/>
        <w:ind w:left="0"/>
        <w:rPr>
          <w:rFonts w:ascii="Playfair Display" w:eastAsia="Playfair Display" w:hAnsi="Playfair Display" w:cs="Playfair Display"/>
          <w:color w:val="528F96"/>
          <w:sz w:val="20"/>
          <w:szCs w:val="20"/>
        </w:rPr>
      </w:pPr>
    </w:p>
    <w:p w14:paraId="2CDB0E3C" w14:textId="77777777" w:rsidR="009E7928" w:rsidRDefault="00AE53AE">
      <w:pPr>
        <w:spacing w:after="0"/>
        <w:ind w:left="0"/>
        <w:rPr>
          <w:rFonts w:ascii="Times New Roman" w:hAnsi="Times New Roman" w:cs="Times New Roman"/>
          <w:color w:val="000000"/>
          <w:sz w:val="44"/>
          <w:szCs w:val="44"/>
        </w:rPr>
      </w:pPr>
      <w:r>
        <w:rPr>
          <w:rFonts w:ascii="Playfair Display" w:eastAsia="Playfair Display" w:hAnsi="Playfair Display" w:cs="Playfair Display"/>
          <w:color w:val="528F96"/>
          <w:sz w:val="44"/>
          <w:szCs w:val="44"/>
        </w:rPr>
        <w:t>A Community Spirit revival will revolutionise where, and how, people live</w:t>
      </w:r>
    </w:p>
    <w:p w14:paraId="6ABDCBD7" w14:textId="77777777" w:rsidR="009E7928" w:rsidRDefault="009E7928">
      <w:pPr>
        <w:spacing w:after="0"/>
        <w:ind w:left="0"/>
        <w:rPr>
          <w:rFonts w:ascii="Times New Roman" w:hAnsi="Times New Roman" w:cs="Times New Roman"/>
          <w:color w:val="000000"/>
          <w:sz w:val="44"/>
          <w:szCs w:val="44"/>
        </w:rPr>
      </w:pPr>
    </w:p>
    <w:p w14:paraId="0E41F237" w14:textId="77777777" w:rsidR="009E7928" w:rsidRDefault="00AE53AE">
      <w:pPr>
        <w:spacing w:after="0"/>
        <w:ind w:left="0"/>
        <w:rPr>
          <w:sz w:val="32"/>
          <w:szCs w:val="32"/>
        </w:rPr>
      </w:pPr>
      <w:r>
        <w:rPr>
          <w:sz w:val="32"/>
          <w:szCs w:val="32"/>
        </w:rPr>
        <w:t xml:space="preserve">As citizens lose trust in institutions across Europe and the US, they’re placing more faith in family, friends and other peers. </w:t>
      </w:r>
    </w:p>
    <w:p w14:paraId="12F5EC2B" w14:textId="77777777" w:rsidR="009E7928" w:rsidRDefault="009E7928">
      <w:pPr>
        <w:spacing w:after="0"/>
        <w:ind w:left="0"/>
        <w:rPr>
          <w:sz w:val="16"/>
          <w:szCs w:val="16"/>
        </w:rPr>
      </w:pPr>
    </w:p>
    <w:p w14:paraId="7F71EC55" w14:textId="77777777" w:rsidR="009E7928" w:rsidRDefault="00AE53AE">
      <w:pPr>
        <w:spacing w:after="0"/>
        <w:ind w:left="0"/>
        <w:rPr>
          <w:rFonts w:ascii="Times New Roman" w:hAnsi="Times New Roman" w:cs="Times New Roman"/>
          <w:color w:val="000000"/>
          <w:sz w:val="40"/>
          <w:szCs w:val="40"/>
        </w:rPr>
      </w:pPr>
      <w:r>
        <w:rPr>
          <w:sz w:val="32"/>
          <w:szCs w:val="32"/>
        </w:rPr>
        <w:t>The trend’s set to revolutionise the way households, living spaces and communities are organised, built and run.</w:t>
      </w:r>
    </w:p>
    <w:p w14:paraId="50847A5B" w14:textId="77777777" w:rsidR="009E7928" w:rsidRDefault="009E7928">
      <w:pPr>
        <w:spacing w:after="0"/>
        <w:ind w:left="0"/>
        <w:rPr>
          <w:color w:val="000000"/>
          <w:sz w:val="16"/>
          <w:szCs w:val="16"/>
        </w:rPr>
      </w:pPr>
    </w:p>
    <w:p w14:paraId="0556CA1B" w14:textId="77777777" w:rsidR="009E7928" w:rsidRDefault="00AE53AE">
      <w:pPr>
        <w:spacing w:before="360" w:after="0"/>
        <w:ind w:left="0"/>
        <w:rPr>
          <w:rFonts w:ascii="Playfair Display" w:eastAsia="Playfair Display" w:hAnsi="Playfair Display" w:cs="Playfair Display"/>
          <w:b/>
          <w:sz w:val="44"/>
          <w:szCs w:val="44"/>
        </w:rPr>
      </w:pPr>
      <w:r>
        <w:rPr>
          <w:rFonts w:ascii="Playfair Display" w:eastAsia="Playfair Display" w:hAnsi="Playfair Display" w:cs="Playfair Display"/>
          <w:color w:val="528F96"/>
          <w:sz w:val="44"/>
          <w:szCs w:val="44"/>
        </w:rPr>
        <w:t>Next Big Thi</w:t>
      </w:r>
      <w:r>
        <w:rPr>
          <w:rFonts w:ascii="Playfair Display" w:eastAsia="Playfair Display" w:hAnsi="Playfair Display" w:cs="Playfair Display"/>
          <w:color w:val="528F96"/>
          <w:sz w:val="44"/>
          <w:szCs w:val="44"/>
        </w:rPr>
        <w:t>ng</w:t>
      </w:r>
      <w:r>
        <w:rPr>
          <w:rFonts w:ascii="Playfair Display" w:eastAsia="Playfair Display" w:hAnsi="Playfair Display" w:cs="Playfair Display"/>
          <w:color w:val="528F96"/>
          <w:sz w:val="44"/>
          <w:szCs w:val="44"/>
        </w:rPr>
        <w:br/>
      </w:r>
      <w:r>
        <w:rPr>
          <w:rFonts w:ascii="Playfair Display" w:eastAsia="Playfair Display" w:hAnsi="Playfair Display" w:cs="Playfair Display"/>
          <w:color w:val="528F96"/>
          <w:sz w:val="28"/>
          <w:szCs w:val="28"/>
        </w:rPr>
        <w:t>October 2020</w:t>
      </w:r>
    </w:p>
    <w:p w14:paraId="6D942780" w14:textId="77777777" w:rsidR="009E7928" w:rsidRDefault="00AE53AE">
      <w:pPr>
        <w:spacing w:after="0"/>
        <w:ind w:left="0"/>
        <w:rPr>
          <w:rFonts w:ascii="Playfair Display" w:eastAsia="Playfair Display" w:hAnsi="Playfair Display" w:cs="Playfair Display"/>
          <w:b/>
          <w:sz w:val="56"/>
          <w:szCs w:val="56"/>
        </w:rPr>
      </w:pPr>
      <w:r>
        <w:br w:type="page"/>
      </w:r>
      <w:r>
        <w:rPr>
          <w:rFonts w:ascii="Playfair Display" w:eastAsia="Playfair Display" w:hAnsi="Playfair Display" w:cs="Playfair Display"/>
          <w:b/>
          <w:sz w:val="56"/>
          <w:szCs w:val="56"/>
        </w:rPr>
        <w:lastRenderedPageBreak/>
        <w:t>Key insights from the report</w:t>
      </w:r>
    </w:p>
    <w:p w14:paraId="67BC5475" w14:textId="77777777" w:rsidR="009E7928" w:rsidRDefault="009E7928">
      <w:pPr>
        <w:pStyle w:val="Heading3"/>
        <w:spacing w:after="0"/>
        <w:ind w:firstLine="1701"/>
        <w:rPr>
          <w:rFonts w:ascii="Playfair Display" w:eastAsia="Playfair Display" w:hAnsi="Playfair Display" w:cs="Playfair Display"/>
          <w:sz w:val="10"/>
          <w:szCs w:val="10"/>
        </w:rPr>
      </w:pPr>
    </w:p>
    <w:p w14:paraId="3F00E931" w14:textId="77777777" w:rsidR="009E7928" w:rsidRDefault="00AE53AE" w:rsidP="00B32796">
      <w:r>
        <w:t>As levels of institutional trust continue to tumble, individuals are increasingly seeking out the physical and emotional support of their peers. The report shows how more and more people are surrounding themselves with a trusted “</w:t>
      </w:r>
      <w:proofErr w:type="spellStart"/>
      <w:r>
        <w:t>framily</w:t>
      </w:r>
      <w:proofErr w:type="spellEnd"/>
      <w:r>
        <w:t>” of relations, clo</w:t>
      </w:r>
      <w:r>
        <w:t xml:space="preserve">se friends, neighbours, work colleagues and members of shared interest groups. And how greater value is being placed on interpersonal relationships and communication, social leisure and peer-driven decision making. </w:t>
      </w:r>
    </w:p>
    <w:p w14:paraId="20FECABA" w14:textId="77777777" w:rsidR="009E7928" w:rsidRDefault="00AE53AE" w:rsidP="00B32796">
      <w:r>
        <w:t xml:space="preserve">It explores how </w:t>
      </w:r>
      <w:proofErr w:type="spellStart"/>
      <w:r>
        <w:t>Covid</w:t>
      </w:r>
      <w:proofErr w:type="spellEnd"/>
      <w:r>
        <w:t xml:space="preserve"> has accelerated th</w:t>
      </w:r>
      <w:r>
        <w:t xml:space="preserve">e trend. Local communities and online friend networks provided vital physical and emotional support for those in </w:t>
      </w:r>
      <w:proofErr w:type="gramStart"/>
      <w:r>
        <w:t>lockdown, and</w:t>
      </w:r>
      <w:proofErr w:type="gramEnd"/>
      <w:r>
        <w:t xml:space="preserve"> were acknowledged for doing so.</w:t>
      </w:r>
    </w:p>
    <w:p w14:paraId="69B417D0" w14:textId="77777777" w:rsidR="009E7928" w:rsidRDefault="00AE53AE" w:rsidP="00B32796">
      <w:r>
        <w:t>The Community Spirit trend has major implications for the future. It’s set to impact where, and h</w:t>
      </w:r>
      <w:r>
        <w:t>ow, people are going to live; what they’ll need to do so; and how they’ll want their communities to be run.</w:t>
      </w:r>
    </w:p>
    <w:p w14:paraId="3D026306" w14:textId="77777777" w:rsidR="009E7928" w:rsidRDefault="00AE53AE" w:rsidP="00B32796">
      <w:r>
        <w:t>The report predicts three major developments coming out of the trend.</w:t>
      </w:r>
    </w:p>
    <w:p w14:paraId="1F9DBC91" w14:textId="77777777" w:rsidR="009E7928" w:rsidRDefault="009E7928">
      <w:pPr>
        <w:ind w:firstLine="1710"/>
        <w:jc w:val="center"/>
        <w:rPr>
          <w:sz w:val="2"/>
          <w:szCs w:val="2"/>
        </w:rPr>
      </w:pPr>
    </w:p>
    <w:p w14:paraId="0157C2EC" w14:textId="77777777" w:rsidR="009E7928" w:rsidRDefault="00AE53AE">
      <w:pPr>
        <w:ind w:firstLine="1710"/>
        <w:jc w:val="center"/>
      </w:pPr>
      <w:r>
        <w:rPr>
          <w:sz w:val="10"/>
          <w:szCs w:val="10"/>
        </w:rPr>
        <w:t xml:space="preserve"> </w:t>
      </w:r>
      <w:r>
        <w:t>______________________________</w:t>
      </w:r>
    </w:p>
    <w:p w14:paraId="1EDD8CB6" w14:textId="77777777" w:rsidR="009E7928" w:rsidRDefault="009E7928">
      <w:pPr>
        <w:ind w:firstLine="1710"/>
        <w:jc w:val="center"/>
        <w:rPr>
          <w:sz w:val="2"/>
          <w:szCs w:val="2"/>
        </w:rPr>
      </w:pPr>
    </w:p>
    <w:p w14:paraId="346BE5B4" w14:textId="1005F0C2" w:rsidR="009E7928" w:rsidRDefault="00AE53AE" w:rsidP="00B32796">
      <w:pPr>
        <w:pStyle w:val="Heading3"/>
      </w:pPr>
      <w:bookmarkStart w:id="1" w:name="_heading=h.xqek33qijmub" w:colFirst="0" w:colLast="0"/>
      <w:bookmarkEnd w:id="1"/>
      <w:r>
        <w:t>1</w:t>
      </w:r>
      <w:r w:rsidR="00B32796">
        <w:t>.</w:t>
      </w:r>
      <w:r>
        <w:t xml:space="preserve"> Household composition will be transformed</w:t>
      </w:r>
    </w:p>
    <w:p w14:paraId="2A580997" w14:textId="77777777" w:rsidR="009E7928" w:rsidRDefault="00AE53AE" w:rsidP="00B32796">
      <w:pPr>
        <w:rPr>
          <w:color w:val="808080"/>
        </w:rPr>
      </w:pPr>
      <w:r>
        <w:t>More and more people are starting to see the value of shared living space. After decades of shrinkage, it looks like household size is about to rise again. A desire for communality is one of several factors driving growth in three generation households. Fl</w:t>
      </w:r>
      <w:r>
        <w:t>at sharing is increasing too, not just among the young or low income. And co-living and Live Work Play spaces are more and more popular, especially among the hugely pro-community Millennials. Think dorm-style developments, streaming subs-driven entertainme</w:t>
      </w:r>
      <w:r>
        <w:t>nt rooms and shared kitchens, with consequent opportunities for retail and restaurant sales and sponsorship.</w:t>
      </w:r>
    </w:p>
    <w:p w14:paraId="0E74A3DD" w14:textId="4EF206E3" w:rsidR="009E7928" w:rsidRDefault="00AE53AE" w:rsidP="00B32796">
      <w:pPr>
        <w:pStyle w:val="Heading3"/>
      </w:pPr>
      <w:bookmarkStart w:id="2" w:name="_heading=h.2tqgxp5x6a2u" w:colFirst="0" w:colLast="0"/>
      <w:bookmarkEnd w:id="2"/>
      <w:r>
        <w:t>2</w:t>
      </w:r>
      <w:r w:rsidR="00B32796">
        <w:t>.</w:t>
      </w:r>
      <w:r>
        <w:t xml:space="preserve"> Local neighbourhoods will take centre stage</w:t>
      </w:r>
    </w:p>
    <w:p w14:paraId="2BBF0162" w14:textId="77777777" w:rsidR="009E7928" w:rsidRDefault="00AE53AE" w:rsidP="00B32796">
      <w:r>
        <w:t xml:space="preserve">People today place more value on their day to day environments and work/life balance. Combined with a likely rise in home working, this is starting to drive citizens to take greater interest in their local </w:t>
      </w:r>
      <w:proofErr w:type="gramStart"/>
      <w:r>
        <w:t>neighbourhoods, and</w:t>
      </w:r>
      <w:proofErr w:type="gramEnd"/>
      <w:r>
        <w:t xml:space="preserve"> seek more influence over them.</w:t>
      </w:r>
      <w:r>
        <w:t xml:space="preserve"> This will pave the way for walkable ‘</w:t>
      </w:r>
      <w:proofErr w:type="gramStart"/>
      <w:r>
        <w:t>15 minute</w:t>
      </w:r>
      <w:proofErr w:type="gramEnd"/>
      <w:r>
        <w:t xml:space="preserve"> cities’ and growth in bicycle and e-bike sales. </w:t>
      </w:r>
    </w:p>
    <w:p w14:paraId="59A4CF40" w14:textId="77777777" w:rsidR="009E7928" w:rsidRDefault="00AE53AE">
      <w:pPr>
        <w:ind w:left="0" w:firstLine="720"/>
        <w:rPr>
          <w:color w:val="808080"/>
          <w:sz w:val="16"/>
          <w:szCs w:val="16"/>
        </w:rPr>
      </w:pPr>
      <w:r>
        <w:lastRenderedPageBreak/>
        <w:t xml:space="preserve">                 </w:t>
      </w:r>
      <w:r>
        <w:rPr>
          <w:noProof/>
        </w:rPr>
        <w:drawing>
          <wp:inline distT="0" distB="0" distL="0" distR="0" wp14:anchorId="7EFEAAD7" wp14:editId="0AECEF86">
            <wp:extent cx="4572000" cy="27432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color w:val="808080"/>
          <w:sz w:val="16"/>
          <w:szCs w:val="16"/>
        </w:rPr>
        <w:t xml:space="preserve">    </w:t>
      </w:r>
    </w:p>
    <w:p w14:paraId="22AFA6C0" w14:textId="77777777" w:rsidR="009E7928" w:rsidRDefault="00AE53AE">
      <w:pPr>
        <w:ind w:left="0" w:firstLine="720"/>
      </w:pPr>
      <w:r>
        <w:rPr>
          <w:color w:val="808080"/>
          <w:sz w:val="16"/>
          <w:szCs w:val="16"/>
        </w:rPr>
        <w:t xml:space="preserve">                        Poynter Institute, Media Trust Survey, Aug 2018</w:t>
      </w:r>
    </w:p>
    <w:p w14:paraId="479CE379" w14:textId="77777777" w:rsidR="009E7928" w:rsidRDefault="009E7928">
      <w:pPr>
        <w:pBdr>
          <w:top w:val="nil"/>
          <w:left w:val="nil"/>
          <w:bottom w:val="nil"/>
          <w:right w:val="nil"/>
          <w:between w:val="nil"/>
        </w:pBdr>
        <w:ind w:firstLine="9"/>
        <w:rPr>
          <w:rFonts w:ascii="Times New Roman" w:hAnsi="Times New Roman" w:cs="Times New Roman"/>
          <w:color w:val="000000"/>
          <w:sz w:val="10"/>
          <w:szCs w:val="10"/>
        </w:rPr>
      </w:pPr>
    </w:p>
    <w:p w14:paraId="68CF7CFC" w14:textId="77777777" w:rsidR="009E7928" w:rsidRDefault="00AE53AE" w:rsidP="00B32796">
      <w:r>
        <w:t>There’s likely to be more space on the High Street for local en</w:t>
      </w:r>
      <w:r>
        <w:t>trepreneurs, and more sharing of goods between neighbours. Companies will need to ‘act local’, as residents prove warier of ‘outsider’ brands. But there will be more opportunities to drive local loyalty by sponsoring neighbourhood amenities. The trend coul</w:t>
      </w:r>
      <w:r>
        <w:t>d also drive a shift away from cities towards more suburban and rural living, as people begin to value good local amenities over an area’s proximity or transport links to big population centres.</w:t>
      </w:r>
    </w:p>
    <w:p w14:paraId="7AFABC31" w14:textId="35FF1196" w:rsidR="009E7928" w:rsidRDefault="00AE53AE">
      <w:pPr>
        <w:pStyle w:val="Heading3"/>
        <w:ind w:left="981" w:firstLine="720"/>
      </w:pPr>
      <w:bookmarkStart w:id="3" w:name="_heading=h.dmeqh47engb0" w:colFirst="0" w:colLast="0"/>
      <w:bookmarkEnd w:id="3"/>
      <w:r>
        <w:t>3</w:t>
      </w:r>
      <w:r w:rsidR="00B32796">
        <w:t>.</w:t>
      </w:r>
      <w:r>
        <w:t xml:space="preserve"> Communities will become more autonomous</w:t>
      </w:r>
    </w:p>
    <w:p w14:paraId="00128C2E" w14:textId="77777777" w:rsidR="009E7928" w:rsidRDefault="00AE53AE" w:rsidP="00B32796">
      <w:r>
        <w:t xml:space="preserve">Today’s </w:t>
      </w:r>
      <w:proofErr w:type="gramStart"/>
      <w:r>
        <w:t>technologic</w:t>
      </w:r>
      <w:r>
        <w:t>ally-enabled</w:t>
      </w:r>
      <w:proofErr w:type="gramEnd"/>
      <w:r>
        <w:t xml:space="preserve"> citizens are increasingly protesting government, institutional and business influence over their lives. For many, this is manifesting in an attempt to take back control over local institutions and planning. As this grows, we’ll see more place </w:t>
      </w:r>
      <w:r>
        <w:t>shaping: close citizen involvement in local development. Some co-living spaces and neighbourhoods could even develop into self-sufficient ‘bubbles’, determining everything that happens within their boundaries. The more influence residents gain over their n</w:t>
      </w:r>
      <w:r>
        <w:t xml:space="preserve">eighbourhoods, the more they’ll seek power for them. This could drive growth in citizen-led autonomous communities, from prepper groups and micro-communes to </w:t>
      </w:r>
      <w:proofErr w:type="spellStart"/>
      <w:r>
        <w:t>Seasteading</w:t>
      </w:r>
      <w:proofErr w:type="spellEnd"/>
      <w:r>
        <w:t xml:space="preserve"> communities and even city states. Networks that develop between these communities coul</w:t>
      </w:r>
      <w:r>
        <w:t>d have a huge influence over national and global politics.</w:t>
      </w:r>
    </w:p>
    <w:p w14:paraId="6298753C" w14:textId="77777777" w:rsidR="009E7928" w:rsidRDefault="009E7928">
      <w:pPr>
        <w:pBdr>
          <w:top w:val="nil"/>
          <w:left w:val="nil"/>
          <w:bottom w:val="nil"/>
          <w:right w:val="nil"/>
          <w:between w:val="nil"/>
        </w:pBdr>
        <w:ind w:firstLine="9"/>
        <w:rPr>
          <w:rFonts w:ascii="Playfair Display" w:eastAsia="Playfair Display" w:hAnsi="Playfair Display" w:cs="Playfair Display"/>
          <w:b/>
          <w:color w:val="528E96"/>
          <w:sz w:val="24"/>
          <w:szCs w:val="24"/>
        </w:rPr>
      </w:pPr>
    </w:p>
    <w:p w14:paraId="0DD6654E" w14:textId="77777777" w:rsidR="009E7928" w:rsidRDefault="00AE53AE">
      <w:pPr>
        <w:pStyle w:val="Heading3"/>
        <w:ind w:firstLine="9"/>
        <w:rPr>
          <w:rFonts w:ascii="Playfair Display" w:eastAsia="Playfair Display" w:hAnsi="Playfair Display" w:cs="Playfair Display"/>
        </w:rPr>
      </w:pPr>
      <w:r>
        <w:lastRenderedPageBreak/>
        <w:t xml:space="preserve">                            </w:t>
      </w:r>
      <w:r>
        <w:rPr>
          <w:noProof/>
        </w:rPr>
        <w:drawing>
          <wp:inline distT="0" distB="0" distL="0" distR="0" wp14:anchorId="3EAD8D12" wp14:editId="2309B785">
            <wp:extent cx="4716869" cy="2654752"/>
            <wp:effectExtent l="0" t="0" r="0" b="0"/>
            <wp:docPr id="44" name="image1.jpg" descr="A large body of wa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arge body of water&#10;&#10;Description automatically generated"/>
                    <pic:cNvPicPr preferRelativeResize="0"/>
                  </pic:nvPicPr>
                  <pic:blipFill>
                    <a:blip r:embed="rId9"/>
                    <a:srcRect/>
                    <a:stretch>
                      <a:fillRect/>
                    </a:stretch>
                  </pic:blipFill>
                  <pic:spPr>
                    <a:xfrm>
                      <a:off x="0" y="0"/>
                      <a:ext cx="4716869" cy="2654752"/>
                    </a:xfrm>
                    <a:prstGeom prst="rect">
                      <a:avLst/>
                    </a:prstGeom>
                    <a:ln/>
                  </pic:spPr>
                </pic:pic>
              </a:graphicData>
            </a:graphic>
          </wp:inline>
        </w:drawing>
      </w:r>
    </w:p>
    <w:p w14:paraId="74F90EAA" w14:textId="77777777" w:rsidR="009E7928" w:rsidRDefault="00AE53AE">
      <w:pPr>
        <w:ind w:firstLine="1701"/>
        <w:rPr>
          <w:i/>
        </w:rPr>
      </w:pPr>
      <w:proofErr w:type="spellStart"/>
      <w:r>
        <w:rPr>
          <w:i/>
        </w:rPr>
        <w:t>Seasteading</w:t>
      </w:r>
      <w:proofErr w:type="spellEnd"/>
      <w:r>
        <w:rPr>
          <w:i/>
        </w:rPr>
        <w:t xml:space="preserve"> could create huge </w:t>
      </w:r>
      <w:proofErr w:type="gramStart"/>
      <w:r>
        <w:rPr>
          <w:i/>
        </w:rPr>
        <w:t>brand new</w:t>
      </w:r>
      <w:proofErr w:type="gramEnd"/>
      <w:r>
        <w:rPr>
          <w:i/>
        </w:rPr>
        <w:t xml:space="preserve"> cities like ‘</w:t>
      </w:r>
      <w:proofErr w:type="spellStart"/>
      <w:r>
        <w:rPr>
          <w:i/>
        </w:rPr>
        <w:t>Oceanix</w:t>
      </w:r>
      <w:proofErr w:type="spellEnd"/>
      <w:r>
        <w:rPr>
          <w:i/>
        </w:rPr>
        <w:t>’.</w:t>
      </w:r>
    </w:p>
    <w:p w14:paraId="11B48BD8" w14:textId="77777777" w:rsidR="009E7928" w:rsidRDefault="009E7928">
      <w:pPr>
        <w:spacing w:after="0"/>
        <w:ind w:left="0"/>
      </w:pPr>
    </w:p>
    <w:p w14:paraId="56658927" w14:textId="77777777" w:rsidR="009E7928" w:rsidRDefault="00AE53AE">
      <w:pPr>
        <w:spacing w:after="0"/>
        <w:ind w:left="0"/>
        <w:jc w:val="center"/>
      </w:pPr>
      <w:r>
        <w:t>______________________________</w:t>
      </w:r>
    </w:p>
    <w:p w14:paraId="104B730A" w14:textId="77777777" w:rsidR="009E7928" w:rsidRDefault="009E7928">
      <w:pPr>
        <w:ind w:firstLine="1710"/>
      </w:pPr>
    </w:p>
    <w:p w14:paraId="39890041" w14:textId="77777777" w:rsidR="009E7928" w:rsidRDefault="00AE53AE" w:rsidP="00B32796">
      <w:r>
        <w:t>The report also looks at what these changes will mean for business. How, for instance, more autonomous citizens and communities will seek to wrest control from organisations, institutions and brands. How greater focus on local neighbourhoods will make peop</w:t>
      </w:r>
      <w:r>
        <w:t>le warier of national and global companies. And how changes to household composition will render some traditional marketing and NPD approaches obsolete.</w:t>
      </w:r>
    </w:p>
    <w:p w14:paraId="57DB8B3D" w14:textId="4B7EEDAC" w:rsidR="009E7928" w:rsidRDefault="00AE53AE" w:rsidP="00B32796">
      <w:pPr>
        <w:rPr>
          <w:rFonts w:ascii="Times New Roman" w:hAnsi="Times New Roman" w:cs="Times New Roman"/>
          <w:color w:val="000000"/>
          <w:sz w:val="10"/>
          <w:szCs w:val="10"/>
        </w:rPr>
      </w:pPr>
      <w:r>
        <w:t>The report analyses how these threats can be reduced, and even turned into opportunities. For instance,</w:t>
      </w:r>
      <w:r>
        <w:t xml:space="preserve"> how to attract control-seekers by offering them practical advice, interaction, and transparent data. It </w:t>
      </w:r>
      <w:r w:rsidR="009F7061">
        <w:t>considers</w:t>
      </w:r>
      <w:r>
        <w:t xml:space="preserve"> how to satisfy the new needs of new households and communities via more adaptable products and services, or higher value items sharable in m</w:t>
      </w:r>
      <w:r>
        <w:t>ulti-occupancy homes. Finally, it considers some localised and service-led strategies to build trust and ensure continued access to newly ‘gated’ communities.</w:t>
      </w:r>
    </w:p>
    <w:p w14:paraId="1C7983E5" w14:textId="77777777" w:rsidR="009E7928" w:rsidRDefault="009E7928">
      <w:pPr>
        <w:spacing w:after="0"/>
        <w:ind w:left="0"/>
      </w:pPr>
    </w:p>
    <w:p w14:paraId="7CC5AEC5" w14:textId="77777777" w:rsidR="009E7928" w:rsidRDefault="00AE53AE">
      <w:pPr>
        <w:ind w:left="0"/>
        <w:rPr>
          <w:rFonts w:ascii="Playfair Display" w:eastAsia="Playfair Display" w:hAnsi="Playfair Display" w:cs="Playfair Display"/>
          <w:b/>
          <w:sz w:val="56"/>
          <w:szCs w:val="56"/>
        </w:rPr>
      </w:pPr>
      <w:r>
        <w:br w:type="page"/>
      </w:r>
    </w:p>
    <w:p w14:paraId="46CEBFD1" w14:textId="77777777" w:rsidR="009E7928" w:rsidRDefault="00AE53AE">
      <w:pPr>
        <w:ind w:left="0"/>
        <w:rPr>
          <w:rFonts w:ascii="Playfair Display" w:eastAsia="Playfair Display" w:hAnsi="Playfair Display" w:cs="Playfair Display"/>
          <w:b/>
          <w:sz w:val="56"/>
          <w:szCs w:val="56"/>
        </w:rPr>
      </w:pPr>
      <w:r>
        <w:rPr>
          <w:rFonts w:ascii="Playfair Display" w:eastAsia="Playfair Display" w:hAnsi="Playfair Display" w:cs="Playfair Display"/>
          <w:b/>
          <w:sz w:val="56"/>
          <w:szCs w:val="56"/>
        </w:rPr>
        <w:lastRenderedPageBreak/>
        <w:t>About the authors</w:t>
      </w:r>
    </w:p>
    <w:p w14:paraId="04A17F55" w14:textId="77777777" w:rsidR="009E7928" w:rsidRDefault="009E7928">
      <w:pPr>
        <w:ind w:firstLine="1701"/>
        <w:rPr>
          <w:color w:val="7F7F7F"/>
        </w:rPr>
      </w:pPr>
    </w:p>
    <w:p w14:paraId="429EA184" w14:textId="77777777" w:rsidR="009E7928" w:rsidRDefault="00AE53AE" w:rsidP="009F7061">
      <w:pPr>
        <w:rPr>
          <w:color w:val="7F7F7F"/>
        </w:rPr>
      </w:pPr>
      <w:r>
        <w:rPr>
          <w:color w:val="7F7F7F"/>
        </w:rPr>
        <w:t>Next Big Thing is on a mission to democratise future forecasting. We want everyone in an organisation to support an innovative culture and be ready to profit from what's next.</w:t>
      </w:r>
      <w:r>
        <w:rPr>
          <w:color w:val="7F7F7F"/>
        </w:rPr>
        <w:br/>
      </w:r>
      <w:r>
        <w:rPr>
          <w:color w:val="7F7F7F"/>
        </w:rPr>
        <w:br/>
        <w:t>Over the last twenty years, Next Big Thing has grown from a small consumer tren</w:t>
      </w:r>
      <w:r>
        <w:rPr>
          <w:color w:val="7F7F7F"/>
        </w:rPr>
        <w:t>ds agency into a full-service strategic Futures consultancy. Our approach is human-centred. We’ve learned over time that understanding human behaviour and motivation, and mapping it against unfolding events, is the most effective way to predict trends.</w:t>
      </w:r>
      <w:r>
        <w:rPr>
          <w:color w:val="7F7F7F"/>
        </w:rPr>
        <w:br/>
      </w:r>
      <w:r>
        <w:rPr>
          <w:color w:val="7F7F7F"/>
        </w:rPr>
        <w:br/>
        <w:t>Fo</w:t>
      </w:r>
      <w:r>
        <w:rPr>
          <w:color w:val="7F7F7F"/>
        </w:rPr>
        <w:t>recasting is a science, but it’s a simple one to understand if you have the right people to help you.</w:t>
      </w:r>
      <w:r>
        <w:rPr>
          <w:color w:val="7F7F7F"/>
        </w:rPr>
        <w:br/>
      </w:r>
      <w:r>
        <w:rPr>
          <w:color w:val="7F7F7F"/>
        </w:rPr>
        <w:br/>
        <w:t>Clients that have benefited from our approach include Amazon, HSBC, Walt Disney, Sainsbury's, Marks &amp; Spencer, BBC and British Telecom.</w:t>
      </w:r>
    </w:p>
    <w:p w14:paraId="5AA72349" w14:textId="77777777" w:rsidR="009E7928" w:rsidRDefault="00AE53AE" w:rsidP="009F7061">
      <w:pPr>
        <w:rPr>
          <w:color w:val="7F7F7F"/>
        </w:rPr>
      </w:pPr>
      <w:r>
        <w:rPr>
          <w:color w:val="7F7F7F"/>
        </w:rPr>
        <w:t>Directors William</w:t>
      </w:r>
      <w:r>
        <w:rPr>
          <w:color w:val="7F7F7F"/>
        </w:rPr>
        <w:t xml:space="preserve"> and Nadia Higham are available to present the findings of our reports. Just </w:t>
      </w:r>
      <w:hyperlink r:id="rId10">
        <w:r>
          <w:rPr>
            <w:color w:val="0563C1"/>
            <w:u w:val="single"/>
          </w:rPr>
          <w:t>ask</w:t>
        </w:r>
      </w:hyperlink>
      <w:r>
        <w:rPr>
          <w:color w:val="7F7F7F"/>
        </w:rPr>
        <w:t xml:space="preserve"> for rates and availability.</w:t>
      </w:r>
    </w:p>
    <w:p w14:paraId="59019BA8" w14:textId="77777777" w:rsidR="009E7928" w:rsidRDefault="009E7928">
      <w:pPr>
        <w:pStyle w:val="Heading3"/>
        <w:spacing w:after="0"/>
        <w:ind w:firstLine="1701"/>
      </w:pPr>
    </w:p>
    <w:p w14:paraId="2DBD6AB4" w14:textId="77777777" w:rsidR="009E7928" w:rsidRDefault="00AE53AE" w:rsidP="009F7061">
      <w:pPr>
        <w:pStyle w:val="Heading3"/>
        <w:spacing w:before="0"/>
      </w:pPr>
      <w:r>
        <w:t>Get in t</w:t>
      </w:r>
      <w:r>
        <w:t>ouch</w:t>
      </w:r>
    </w:p>
    <w:p w14:paraId="56B339BB" w14:textId="77777777" w:rsidR="009E7928" w:rsidRDefault="00AE53AE">
      <w:pPr>
        <w:ind w:left="3141" w:hanging="1701"/>
      </w:pPr>
      <w:r>
        <w:t xml:space="preserve">     Learn more about our talks and workshops </w:t>
      </w:r>
    </w:p>
    <w:p w14:paraId="34BA9992" w14:textId="77777777" w:rsidR="009E7928" w:rsidRDefault="00AE53AE">
      <w:pPr>
        <w:ind w:left="3141" w:hanging="1701"/>
      </w:pPr>
      <w:r>
        <w:t xml:space="preserve">     Or get a quick costing for your consultancy project.</w:t>
      </w:r>
    </w:p>
    <w:p w14:paraId="75A23952" w14:textId="77777777" w:rsidR="009E7928" w:rsidRDefault="00AE53AE">
      <w:pPr>
        <w:ind w:left="3141" w:hanging="1701"/>
      </w:pPr>
      <w:r>
        <w:t xml:space="preserve">     </w:t>
      </w:r>
    </w:p>
    <w:p w14:paraId="27CB9E39" w14:textId="77777777" w:rsidR="009F7061" w:rsidRDefault="00AE53AE" w:rsidP="009F7061">
      <w:pPr>
        <w:ind w:left="3141" w:hanging="1701"/>
      </w:pPr>
      <w:r>
        <w:t xml:space="preserve">      Call 020 3542 1900</w:t>
      </w:r>
    </w:p>
    <w:p w14:paraId="5C52E085" w14:textId="113ED151" w:rsidR="009E7928" w:rsidRDefault="009F7061" w:rsidP="009F7061">
      <w:pPr>
        <w:ind w:left="3141" w:hanging="1440"/>
      </w:pPr>
      <w:r>
        <w:t xml:space="preserve"> </w:t>
      </w:r>
      <w:r w:rsidR="00AE53AE">
        <w:t xml:space="preserve">Mail </w:t>
      </w:r>
      <w:hyperlink r:id="rId11">
        <w:r w:rsidR="00AE53AE">
          <w:rPr>
            <w:color w:val="0563C1"/>
            <w:u w:val="single"/>
          </w:rPr>
          <w:t>info@next-big-thing.net</w:t>
        </w:r>
      </w:hyperlink>
    </w:p>
    <w:p w14:paraId="727C25E8" w14:textId="743CE662" w:rsidR="009E7928" w:rsidRDefault="009F7061" w:rsidP="009F7061">
      <w:pPr>
        <w:rPr>
          <w:color w:val="0563C1"/>
          <w:u w:val="single"/>
        </w:rPr>
      </w:pPr>
      <w:r>
        <w:t xml:space="preserve"> </w:t>
      </w:r>
      <w:r w:rsidR="00AE53AE">
        <w:t xml:space="preserve">Visit </w:t>
      </w:r>
      <w:hyperlink r:id="rId12">
        <w:r w:rsidR="00AE53AE">
          <w:rPr>
            <w:color w:val="0070C0"/>
            <w:u w:val="single"/>
          </w:rPr>
          <w:t>http://www.next-big-thing.net</w:t>
        </w:r>
      </w:hyperlink>
    </w:p>
    <w:p w14:paraId="1FC71C16" w14:textId="424F38A5" w:rsidR="009E7928" w:rsidRDefault="009F7061" w:rsidP="009F7061">
      <w:pPr>
        <w:rPr>
          <w:color w:val="0563C1"/>
          <w:u w:val="single"/>
        </w:rPr>
      </w:pPr>
      <w:r>
        <w:t xml:space="preserve"> </w:t>
      </w:r>
      <w:r w:rsidR="00AE53AE">
        <w:t xml:space="preserve">Follow </w:t>
      </w:r>
      <w:hyperlink r:id="rId13">
        <w:r w:rsidR="00AE53AE">
          <w:rPr>
            <w:color w:val="0563C1"/>
            <w:u w:val="single"/>
          </w:rPr>
          <w:t>@nextbigthingco</w:t>
        </w:r>
      </w:hyperlink>
    </w:p>
    <w:p w14:paraId="348D3390" w14:textId="77777777" w:rsidR="009E7928" w:rsidRDefault="00AE53AE">
      <w:pPr>
        <w:ind w:left="0"/>
      </w:pPr>
      <w:r>
        <w:t xml:space="preserve">  </w:t>
      </w:r>
      <w:r>
        <w:tab/>
      </w:r>
      <w:r>
        <w:tab/>
        <w:t xml:space="preserve">      Join the new LinkedIn community: </w:t>
      </w:r>
      <w:hyperlink r:id="rId14">
        <w:r>
          <w:rPr>
            <w:color w:val="0563C1"/>
            <w:u w:val="single"/>
          </w:rPr>
          <w:t>Community Spirit Revolution</w:t>
        </w:r>
      </w:hyperlink>
    </w:p>
    <w:sectPr w:rsidR="009E7928">
      <w:footerReference w:type="default" r:id="rId15"/>
      <w:footerReference w:type="first" r:id="rId16"/>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48D4D" w14:textId="77777777" w:rsidR="00AE53AE" w:rsidRDefault="00AE53AE">
      <w:pPr>
        <w:spacing w:after="0"/>
      </w:pPr>
      <w:r>
        <w:separator/>
      </w:r>
    </w:p>
  </w:endnote>
  <w:endnote w:type="continuationSeparator" w:id="0">
    <w:p w14:paraId="69AE12EE" w14:textId="77777777" w:rsidR="00AE53AE" w:rsidRDefault="00AE5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Playfair Display Black">
    <w:panose1 w:val="00000A00000000000000"/>
    <w:charset w:val="4D"/>
    <w:family w:val="auto"/>
    <w:pitch w:val="variable"/>
    <w:sig w:usb0="00000207" w:usb1="00000000" w:usb2="00000000" w:usb3="00000000" w:csb0="00000097" w:csb1="00000000"/>
  </w:font>
  <w:font w:name="Times New Roman (Headings C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Playfair Display">
    <w:panose1 w:val="00000500000000000000"/>
    <w:charset w:val="4D"/>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8FE4" w14:textId="77777777" w:rsidR="009E7928" w:rsidRDefault="00AE53AE">
    <w:pPr>
      <w:keepNext/>
      <w:keepLines/>
      <w:pBdr>
        <w:top w:val="single" w:sz="8" w:space="1" w:color="528F96"/>
      </w:pBdr>
      <w:tabs>
        <w:tab w:val="left" w:pos="8505"/>
      </w:tabs>
      <w:spacing w:before="120" w:after="0"/>
      <w:ind w:left="0"/>
      <w:rPr>
        <w:rFonts w:ascii="Playfair Display" w:eastAsia="Playfair Display" w:hAnsi="Playfair Display" w:cs="Playfair Display"/>
        <w:color w:val="528F96"/>
        <w:sz w:val="20"/>
        <w:szCs w:val="20"/>
      </w:rPr>
    </w:pPr>
    <w:r>
      <w:rPr>
        <w:rFonts w:ascii="Playfair Display" w:eastAsia="Playfair Display" w:hAnsi="Playfair Display" w:cs="Playfair Display"/>
        <w:color w:val="528F96"/>
        <w:sz w:val="20"/>
        <w:szCs w:val="20"/>
      </w:rPr>
      <w:t>Next Big Thing Consulting 2020 | #CommunitySpiritRevolution</w:t>
    </w:r>
    <w:r>
      <w:rPr>
        <w:rFonts w:ascii="Playfair Display" w:eastAsia="Playfair Display" w:hAnsi="Playfair Display" w:cs="Playfair Display"/>
        <w:b/>
        <w:color w:val="528F96"/>
        <w:sz w:val="20"/>
        <w:szCs w:val="20"/>
      </w:rPr>
      <w:tab/>
    </w:r>
    <w:r>
      <w:rPr>
        <w:rFonts w:ascii="Playfair Display" w:eastAsia="Playfair Display" w:hAnsi="Playfair Display" w:cs="Playfair Display"/>
        <w:color w:val="528F96"/>
        <w:sz w:val="20"/>
        <w:szCs w:val="20"/>
      </w:rPr>
      <w:fldChar w:fldCharType="begin"/>
    </w:r>
    <w:r>
      <w:rPr>
        <w:rFonts w:ascii="Playfair Display" w:eastAsia="Playfair Display" w:hAnsi="Playfair Display" w:cs="Playfair Display"/>
        <w:color w:val="528F96"/>
        <w:sz w:val="20"/>
        <w:szCs w:val="20"/>
      </w:rPr>
      <w:instrText>PAGE</w:instrText>
    </w:r>
    <w:r w:rsidR="00B32796">
      <w:rPr>
        <w:rFonts w:ascii="Playfair Display" w:eastAsia="Playfair Display" w:hAnsi="Playfair Display" w:cs="Playfair Display"/>
        <w:color w:val="528F96"/>
        <w:sz w:val="20"/>
        <w:szCs w:val="20"/>
      </w:rPr>
      <w:fldChar w:fldCharType="separate"/>
    </w:r>
    <w:r w:rsidR="00B32796">
      <w:rPr>
        <w:rFonts w:ascii="Playfair Display" w:eastAsia="Playfair Display" w:hAnsi="Playfair Display" w:cs="Playfair Display"/>
        <w:noProof/>
        <w:color w:val="528F96"/>
        <w:sz w:val="20"/>
        <w:szCs w:val="20"/>
      </w:rPr>
      <w:t>2</w:t>
    </w:r>
    <w:r>
      <w:rPr>
        <w:rFonts w:ascii="Playfair Display" w:eastAsia="Playfair Display" w:hAnsi="Playfair Display" w:cs="Playfair Display"/>
        <w:color w:val="528F96"/>
        <w:sz w:val="20"/>
        <w:szCs w:val="20"/>
      </w:rPr>
      <w:fldChar w:fldCharType="end"/>
    </w:r>
  </w:p>
  <w:p w14:paraId="1D64F13A" w14:textId="77777777" w:rsidR="009E7928" w:rsidRDefault="009E7928">
    <w:pPr>
      <w:pBdr>
        <w:top w:val="nil"/>
        <w:left w:val="nil"/>
        <w:bottom w:val="nil"/>
        <w:right w:val="nil"/>
        <w:between w:val="nil"/>
      </w:pBdr>
      <w:tabs>
        <w:tab w:val="center" w:pos="4680"/>
        <w:tab w:val="right" w:pos="9360"/>
      </w:tabs>
      <w:spacing w:after="0"/>
      <w:rPr>
        <w:rFonts w:eastAsia="Open Sans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AE8B" w14:textId="77777777" w:rsidR="009E7928" w:rsidRDefault="009E7928">
    <w:pPr>
      <w:pBdr>
        <w:top w:val="nil"/>
        <w:left w:val="nil"/>
        <w:bottom w:val="nil"/>
        <w:right w:val="nil"/>
        <w:between w:val="nil"/>
      </w:pBdr>
      <w:tabs>
        <w:tab w:val="center" w:pos="4680"/>
        <w:tab w:val="right" w:pos="9360"/>
      </w:tabs>
      <w:spacing w:after="0"/>
      <w:jc w:val="right"/>
      <w:rPr>
        <w:rFonts w:eastAsia="Open Sans Light"/>
      </w:rPr>
    </w:pPr>
  </w:p>
  <w:p w14:paraId="54F1B880" w14:textId="77777777" w:rsidR="009E7928" w:rsidRDefault="009E7928">
    <w:pPr>
      <w:pBdr>
        <w:top w:val="nil"/>
        <w:left w:val="nil"/>
        <w:bottom w:val="nil"/>
        <w:right w:val="nil"/>
        <w:between w:val="nil"/>
      </w:pBdr>
      <w:tabs>
        <w:tab w:val="center" w:pos="4680"/>
        <w:tab w:val="right" w:pos="9360"/>
      </w:tabs>
      <w:spacing w:after="0"/>
      <w:ind w:right="360"/>
      <w:rPr>
        <w:rFonts w:eastAsia="Open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C8A0C" w14:textId="77777777" w:rsidR="00AE53AE" w:rsidRDefault="00AE53AE">
      <w:pPr>
        <w:spacing w:after="0"/>
      </w:pPr>
      <w:r>
        <w:separator/>
      </w:r>
    </w:p>
  </w:footnote>
  <w:footnote w:type="continuationSeparator" w:id="0">
    <w:p w14:paraId="2262E478" w14:textId="77777777" w:rsidR="00AE53AE" w:rsidRDefault="00AE53A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28"/>
    <w:rsid w:val="009E7928"/>
    <w:rsid w:val="009F7061"/>
    <w:rsid w:val="00AE53AE"/>
    <w:rsid w:val="00B32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3B1A5C"/>
  <w15:docId w15:val="{07A7C914-90B2-A648-9B1B-89923642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Light" w:eastAsia="Open Sans Light" w:hAnsi="Open Sans Light" w:cs="Open Sans Light"/>
        <w:color w:val="666666"/>
        <w:sz w:val="21"/>
        <w:szCs w:val="21"/>
        <w:lang w:val="en-GB" w:eastAsia="en-GB" w:bidi="ar-SA"/>
      </w:rPr>
    </w:rPrDefault>
    <w:pPrDefault>
      <w:pPr>
        <w:spacing w:after="200"/>
        <w:ind w:left="17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port body,Report - Normal body"/>
    <w:qFormat/>
    <w:rsid w:val="00A433AD"/>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aliases w:val="Report - Heading 2"/>
    <w:basedOn w:val="Normal"/>
    <w:next w:val="Normal"/>
    <w:link w:val="Heading2Char"/>
    <w:uiPriority w:val="9"/>
    <w:unhideWhenUsed/>
    <w:qFormat/>
    <w:rsid w:val="00A433AD"/>
    <w:pPr>
      <w:keepNext/>
      <w:keepLines/>
      <w:spacing w:before="360" w:after="240"/>
      <w:ind w:left="0"/>
      <w:contextualSpacing/>
      <w:outlineLvl w:val="1"/>
    </w:pPr>
    <w:rPr>
      <w:rFonts w:ascii="Playfair Display Black" w:hAnsi="Playfair Display Black" w:cs="Times New Roman (Headings CS)"/>
      <w:b/>
      <w:color w:val="000000" w:themeColor="text1"/>
      <w:sz w:val="36"/>
      <w:szCs w:val="26"/>
    </w:rPr>
  </w:style>
  <w:style w:type="paragraph" w:styleId="Heading3">
    <w:name w:val="heading 3"/>
    <w:aliases w:val="Report - Heading 3"/>
    <w:basedOn w:val="Normal"/>
    <w:next w:val="Normal"/>
    <w:link w:val="Heading3Char"/>
    <w:uiPriority w:val="9"/>
    <w:unhideWhenUsed/>
    <w:qFormat/>
    <w:rsid w:val="00A433AD"/>
    <w:pPr>
      <w:keepNext/>
      <w:keepLines/>
      <w:spacing w:before="480" w:after="240"/>
      <w:contextualSpacing/>
      <w:outlineLvl w:val="2"/>
    </w:pPr>
    <w:rPr>
      <w:rFonts w:ascii="Playfair Display Black" w:eastAsiaTheme="majorEastAsia" w:hAnsi="Playfair Display Black" w:cstheme="majorBidi"/>
      <w:b/>
      <w:color w:val="528E96"/>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first">
    <w:name w:val="Standfirst"/>
    <w:basedOn w:val="Normal"/>
    <w:next w:val="Normal"/>
    <w:qFormat/>
    <w:rsid w:val="00431E78"/>
    <w:rPr>
      <w:sz w:val="40"/>
      <w:szCs w:val="48"/>
    </w:rPr>
  </w:style>
  <w:style w:type="character" w:customStyle="1" w:styleId="Heading2Char">
    <w:name w:val="Heading 2 Char"/>
    <w:aliases w:val="Report - Heading 2 Char"/>
    <w:basedOn w:val="DefaultParagraphFont"/>
    <w:link w:val="Heading2"/>
    <w:uiPriority w:val="9"/>
    <w:rsid w:val="00A433AD"/>
    <w:rPr>
      <w:rFonts w:ascii="Playfair Display Black" w:eastAsia="Times New Roman" w:hAnsi="Playfair Display Black" w:cs="Times New Roman (Headings CS)"/>
      <w:b/>
      <w:color w:val="000000" w:themeColor="text1"/>
      <w:sz w:val="36"/>
      <w:szCs w:val="26"/>
    </w:rPr>
  </w:style>
  <w:style w:type="character" w:customStyle="1" w:styleId="Heading3Char">
    <w:name w:val="Heading 3 Char"/>
    <w:aliases w:val="Report - Heading 3 Char"/>
    <w:basedOn w:val="DefaultParagraphFont"/>
    <w:link w:val="Heading3"/>
    <w:uiPriority w:val="9"/>
    <w:rsid w:val="00A433AD"/>
    <w:rPr>
      <w:rFonts w:ascii="Playfair Display Black" w:eastAsiaTheme="majorEastAsia" w:hAnsi="Playfair Display Black" w:cstheme="majorBidi"/>
      <w:b/>
      <w:color w:val="528E96"/>
      <w:szCs w:val="21"/>
    </w:rPr>
  </w:style>
  <w:style w:type="character" w:customStyle="1" w:styleId="Opportunityhead">
    <w:name w:val="Opportunity head"/>
    <w:basedOn w:val="DefaultParagraphFont"/>
    <w:uiPriority w:val="1"/>
    <w:qFormat/>
    <w:rsid w:val="00A433AD"/>
    <w:rPr>
      <w:rFonts w:ascii="Open Sans" w:eastAsiaTheme="majorEastAsia" w:hAnsi="Open Sans" w:cstheme="majorBidi"/>
      <w:b/>
      <w:iCs/>
      <w:color w:val="63D4EA"/>
      <w:sz w:val="21"/>
    </w:rPr>
  </w:style>
  <w:style w:type="character" w:styleId="FootnoteReference">
    <w:name w:val="footnote reference"/>
    <w:basedOn w:val="DefaultParagraphFont"/>
    <w:uiPriority w:val="99"/>
    <w:semiHidden/>
    <w:unhideWhenUsed/>
    <w:rsid w:val="00A433AD"/>
    <w:rPr>
      <w:vertAlign w:val="superscript"/>
    </w:rPr>
  </w:style>
  <w:style w:type="paragraph" w:styleId="FootnoteText">
    <w:name w:val="footnote text"/>
    <w:basedOn w:val="Normal"/>
    <w:link w:val="FootnoteTextChar"/>
    <w:uiPriority w:val="99"/>
    <w:semiHidden/>
    <w:unhideWhenUsed/>
    <w:rsid w:val="00A433AD"/>
    <w:pPr>
      <w:spacing w:after="0"/>
    </w:pPr>
    <w:rPr>
      <w:sz w:val="20"/>
      <w:szCs w:val="20"/>
    </w:rPr>
  </w:style>
  <w:style w:type="character" w:customStyle="1" w:styleId="FootnoteTextChar">
    <w:name w:val="Footnote Text Char"/>
    <w:basedOn w:val="DefaultParagraphFont"/>
    <w:link w:val="FootnoteText"/>
    <w:uiPriority w:val="99"/>
    <w:semiHidden/>
    <w:rsid w:val="00A433AD"/>
    <w:rPr>
      <w:rFonts w:ascii="Open Sans Light" w:eastAsia="Times New Roman" w:hAnsi="Open Sans Light" w:cs="Open Sans Light"/>
      <w:color w:val="666666"/>
      <w:sz w:val="20"/>
      <w:szCs w:val="20"/>
    </w:rPr>
  </w:style>
  <w:style w:type="paragraph" w:styleId="Header">
    <w:name w:val="header"/>
    <w:basedOn w:val="Normal"/>
    <w:link w:val="HeaderChar"/>
    <w:uiPriority w:val="99"/>
    <w:unhideWhenUsed/>
    <w:rsid w:val="00A433AD"/>
    <w:pPr>
      <w:tabs>
        <w:tab w:val="center" w:pos="4680"/>
        <w:tab w:val="right" w:pos="9360"/>
      </w:tabs>
      <w:spacing w:after="0"/>
    </w:pPr>
  </w:style>
  <w:style w:type="character" w:customStyle="1" w:styleId="HeaderChar">
    <w:name w:val="Header Char"/>
    <w:basedOn w:val="DefaultParagraphFont"/>
    <w:link w:val="Header"/>
    <w:uiPriority w:val="99"/>
    <w:rsid w:val="00A433AD"/>
    <w:rPr>
      <w:rFonts w:ascii="Open Sans Light" w:eastAsia="Times New Roman" w:hAnsi="Open Sans Light" w:cs="Open Sans Light"/>
      <w:color w:val="666666"/>
      <w:sz w:val="21"/>
      <w:szCs w:val="21"/>
    </w:rPr>
  </w:style>
  <w:style w:type="paragraph" w:styleId="Footer">
    <w:name w:val="footer"/>
    <w:aliases w:val="Report - Footer"/>
    <w:basedOn w:val="Normal"/>
    <w:link w:val="FooterChar"/>
    <w:uiPriority w:val="99"/>
    <w:unhideWhenUsed/>
    <w:qFormat/>
    <w:rsid w:val="00A433AD"/>
    <w:pPr>
      <w:tabs>
        <w:tab w:val="center" w:pos="4680"/>
        <w:tab w:val="right" w:pos="9360"/>
      </w:tabs>
      <w:spacing w:after="0"/>
    </w:pPr>
  </w:style>
  <w:style w:type="character" w:customStyle="1" w:styleId="FooterChar">
    <w:name w:val="Footer Char"/>
    <w:aliases w:val="Report - Footer Char"/>
    <w:basedOn w:val="DefaultParagraphFont"/>
    <w:link w:val="Footer"/>
    <w:uiPriority w:val="99"/>
    <w:rsid w:val="00A433AD"/>
    <w:rPr>
      <w:rFonts w:ascii="Open Sans Light" w:eastAsia="Times New Roman" w:hAnsi="Open Sans Light" w:cs="Open Sans Light"/>
      <w:color w:val="666666"/>
      <w:sz w:val="21"/>
      <w:szCs w:val="21"/>
    </w:rPr>
  </w:style>
  <w:style w:type="paragraph" w:styleId="BalloonText">
    <w:name w:val="Balloon Text"/>
    <w:basedOn w:val="Normal"/>
    <w:link w:val="BalloonTextChar"/>
    <w:uiPriority w:val="99"/>
    <w:semiHidden/>
    <w:unhideWhenUsed/>
    <w:rsid w:val="001D001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0013"/>
    <w:rPr>
      <w:rFonts w:ascii="Times New Roman" w:eastAsia="Times New Roman" w:hAnsi="Times New Roman" w:cs="Times New Roman"/>
      <w:color w:val="666666"/>
      <w:sz w:val="18"/>
      <w:szCs w:val="18"/>
    </w:rPr>
  </w:style>
  <w:style w:type="character" w:styleId="PageNumber">
    <w:name w:val="page number"/>
    <w:basedOn w:val="DefaultParagraphFont"/>
    <w:uiPriority w:val="99"/>
    <w:semiHidden/>
    <w:unhideWhenUsed/>
    <w:rsid w:val="001D0013"/>
  </w:style>
  <w:style w:type="paragraph" w:styleId="NormalWeb">
    <w:name w:val="Normal (Web)"/>
    <w:basedOn w:val="Normal"/>
    <w:uiPriority w:val="99"/>
    <w:unhideWhenUsed/>
    <w:rsid w:val="00146CFB"/>
    <w:pPr>
      <w:spacing w:before="100" w:beforeAutospacing="1" w:after="100" w:afterAutospacing="1"/>
      <w:ind w:left="0"/>
    </w:pPr>
    <w:rPr>
      <w:rFonts w:ascii="Times New Roman" w:hAnsi="Times New Roman" w:cs="Times New Roman"/>
      <w:color w:val="auto"/>
      <w:sz w:val="24"/>
      <w:szCs w:val="24"/>
    </w:rPr>
  </w:style>
  <w:style w:type="character" w:styleId="Strong">
    <w:name w:val="Strong"/>
    <w:basedOn w:val="DefaultParagraphFont"/>
    <w:uiPriority w:val="22"/>
    <w:qFormat/>
    <w:rsid w:val="00146CFB"/>
    <w:rPr>
      <w:b/>
      <w:bCs/>
    </w:rPr>
  </w:style>
  <w:style w:type="character" w:customStyle="1" w:styleId="apple-converted-space">
    <w:name w:val="apple-converted-space"/>
    <w:basedOn w:val="DefaultParagraphFont"/>
    <w:rsid w:val="00146CFB"/>
  </w:style>
  <w:style w:type="character" w:styleId="Hyperlink">
    <w:name w:val="Hyperlink"/>
    <w:basedOn w:val="DefaultParagraphFont"/>
    <w:uiPriority w:val="99"/>
    <w:unhideWhenUsed/>
    <w:rsid w:val="00146CFB"/>
    <w:rPr>
      <w:color w:val="0563C1" w:themeColor="hyperlink"/>
      <w:u w:val="single"/>
    </w:rPr>
  </w:style>
  <w:style w:type="character" w:styleId="UnresolvedMention">
    <w:name w:val="Unresolved Mention"/>
    <w:basedOn w:val="DefaultParagraphFont"/>
    <w:uiPriority w:val="99"/>
    <w:semiHidden/>
    <w:unhideWhenUsed/>
    <w:rsid w:val="00146CFB"/>
    <w:rPr>
      <w:color w:val="605E5C"/>
      <w:shd w:val="clear" w:color="auto" w:fill="E1DFDD"/>
    </w:rPr>
  </w:style>
  <w:style w:type="character" w:styleId="FollowedHyperlink">
    <w:name w:val="FollowedHyperlink"/>
    <w:basedOn w:val="DefaultParagraphFont"/>
    <w:uiPriority w:val="99"/>
    <w:semiHidden/>
    <w:unhideWhenUsed/>
    <w:rsid w:val="00FF2C0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twitter.com/NextBigThing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ext-big-thing.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illiam@nextbigthingconsulting.com?subject=Tell%20me%20more%20about%20presentation%20rates%20and%20availability"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linkedin.com/groups/1240228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chemeClr val="tx1">
                    <a:lumMod val="50000"/>
                    <a:lumOff val="50000"/>
                  </a:schemeClr>
                </a:solidFill>
                <a:latin typeface="Playfair Display" pitchFamily="2" charset="77"/>
                <a:ea typeface="+mn-ea"/>
                <a:cs typeface="+mn-cs"/>
              </a:defRPr>
            </a:pPr>
            <a:r>
              <a:rPr lang="en-GB" sz="1200" b="1" i="0">
                <a:latin typeface="Playfair Display" pitchFamily="2" charset="77"/>
              </a:rPr>
              <a:t>How</a:t>
            </a:r>
            <a:r>
              <a:rPr lang="en-GB" sz="1200" b="1" i="0" baseline="0">
                <a:latin typeface="Playfair Display" pitchFamily="2" charset="77"/>
              </a:rPr>
              <a:t> people feel about their local neighbourhood during the pandemic</a:t>
            </a:r>
            <a:endParaRPr lang="en-GB" sz="1200" b="1" i="0">
              <a:latin typeface="Playfair Display" pitchFamily="2" charset="77"/>
            </a:endParaRPr>
          </a:p>
        </c:rich>
      </c:tx>
      <c:overlay val="0"/>
      <c:spPr>
        <a:noFill/>
        <a:ln>
          <a:noFill/>
        </a:ln>
        <a:effectLst/>
      </c:spPr>
      <c:txPr>
        <a:bodyPr rot="0" spcFirstLastPara="1" vertOverflow="ellipsis" vert="horz" wrap="square" anchor="ctr" anchorCtr="1"/>
        <a:lstStyle/>
        <a:p>
          <a:pPr>
            <a:defRPr sz="1200" b="1" i="0" u="none" strike="noStrike" kern="1200" cap="none" spc="20" baseline="0">
              <a:solidFill>
                <a:schemeClr val="tx1">
                  <a:lumMod val="50000"/>
                  <a:lumOff val="50000"/>
                </a:schemeClr>
              </a:solidFill>
              <a:latin typeface="Playfair Display" pitchFamily="2" charset="77"/>
              <a:ea typeface="+mn-ea"/>
              <a:cs typeface="+mn-cs"/>
            </a:defRPr>
          </a:pPr>
          <a:endParaRPr lang="en-US"/>
        </a:p>
      </c:txPr>
    </c:title>
    <c:autoTitleDeleted val="0"/>
    <c:plotArea>
      <c:layout/>
      <c:barChart>
        <c:barDir val="col"/>
        <c:grouping val="clustered"/>
        <c:varyColors val="0"/>
        <c:ser>
          <c:idx val="0"/>
          <c:order val="0"/>
          <c:spPr>
            <a:gradFill rotWithShape="1">
              <a:gsLst>
                <a:gs pos="40000">
                  <a:srgbClr val="528F96"/>
                </a:gs>
                <a:gs pos="100000">
                  <a:schemeClr val="bg1"/>
                </a:gs>
              </a:gsLst>
              <a:lin ang="5400000" scaled="0"/>
            </a:gradFill>
            <a:ln w="9525" cap="flat" cmpd="sng" algn="ctr">
              <a:noFill/>
              <a:round/>
            </a:ln>
            <a:effectLst/>
          </c:spPr>
          <c:invertIfNegative val="0"/>
          <c:cat>
            <c:strRef>
              <c:f>Sheet1!$A$6:$D$6</c:f>
              <c:strCache>
                <c:ptCount val="4"/>
                <c:pt idx="0">
                  <c:v>People are doing more to help neighbours</c:v>
                </c:pt>
                <c:pt idx="1">
                  <c:v>Lockdown's brought our neighbourhood together</c:v>
                </c:pt>
                <c:pt idx="2">
                  <c:v>I feel a sense of community belonging</c:v>
                </c:pt>
                <c:pt idx="3">
                  <c:v>I feel I can rely on community for support</c:v>
                </c:pt>
              </c:strCache>
            </c:strRef>
          </c:cat>
          <c:val>
            <c:numRef>
              <c:f>Sheet1!$A$7:$D$7</c:f>
              <c:numCache>
                <c:formatCode>0%</c:formatCode>
                <c:ptCount val="4"/>
                <c:pt idx="0">
                  <c:v>0.78</c:v>
                </c:pt>
                <c:pt idx="1">
                  <c:v>0.64</c:v>
                </c:pt>
                <c:pt idx="2">
                  <c:v>0.55000000000000004</c:v>
                </c:pt>
                <c:pt idx="3">
                  <c:v>0.5</c:v>
                </c:pt>
              </c:numCache>
            </c:numRef>
          </c:val>
          <c:extLst>
            <c:ext xmlns:c16="http://schemas.microsoft.com/office/drawing/2014/chart" uri="{C3380CC4-5D6E-409C-BE32-E72D297353CC}">
              <c16:uniqueId val="{00000000-A5EF-CB42-8E63-898510A8AB12}"/>
            </c:ext>
          </c:extLst>
        </c:ser>
        <c:dLbls>
          <c:showLegendKey val="0"/>
          <c:showVal val="0"/>
          <c:showCatName val="0"/>
          <c:showSerName val="0"/>
          <c:showPercent val="0"/>
          <c:showBubbleSize val="0"/>
        </c:dLbls>
        <c:gapWidth val="100"/>
        <c:overlap val="-24"/>
        <c:axId val="1460194847"/>
        <c:axId val="1425886351"/>
      </c:barChart>
      <c:catAx>
        <c:axId val="1460194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25886351"/>
        <c:crosses val="autoZero"/>
        <c:auto val="1"/>
        <c:lblAlgn val="ctr"/>
        <c:lblOffset val="100"/>
        <c:noMultiLvlLbl val="0"/>
      </c:catAx>
      <c:valAx>
        <c:axId val="14258863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601948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fWK8gCgMtYaiaH18YiDGnNjZQ==">AMUW2mXh5hbC2b3OQjusz1CHwYct9YKjRpsdlHqdB2uyrbiOaPLAO97KSl7dCkKl7VMEHMKpldBYGvs3ZE0Gvo8CgQEK5rEjIhXn84g2sLz7fjWvWhhkjLBb/hM8Qfuv3ZoMhlXFREy1zZbwUEuUfdOgF3g1A9e4FIGT58gb/ly5zV49f9sCDBx+bVhwEbKw8h7rpjhsROmc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Higham</dc:creator>
  <cp:lastModifiedBy>William Higham</cp:lastModifiedBy>
  <cp:revision>2</cp:revision>
  <dcterms:created xsi:type="dcterms:W3CDTF">2020-10-16T10:53:00Z</dcterms:created>
  <dcterms:modified xsi:type="dcterms:W3CDTF">2020-10-16T10:53:00Z</dcterms:modified>
</cp:coreProperties>
</file>